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6DC5" w14:textId="34C1C770" w:rsidR="00F038D1" w:rsidRPr="00295B36" w:rsidRDefault="00F038D1">
      <w:r>
        <w:t xml:space="preserve">Excerpts from Luke Timothy Johnson, </w:t>
      </w:r>
      <w:r>
        <w:rPr>
          <w:i/>
          <w:iCs/>
        </w:rPr>
        <w:t>The Mind in Another Place: My Life as a Scholar</w:t>
      </w:r>
      <w:r w:rsidR="00295B36">
        <w:t xml:space="preserve"> (Grand Rapids: Eerdmans, 2022). Footnotes are not Johnson’s.</w:t>
      </w:r>
    </w:p>
    <w:p w14:paraId="6CB9EB2A" w14:textId="77777777" w:rsidR="00F038D1" w:rsidRDefault="00F038D1"/>
    <w:p w14:paraId="1AD6EFFA" w14:textId="0F4BDF15" w:rsidR="003B76A0" w:rsidRDefault="00FD49D8">
      <w:r>
        <w:t>(from “Doctoral Studies (1971-1976)”</w:t>
      </w:r>
      <w:r w:rsidR="00984A6C">
        <w:t>; age: ~29</w:t>
      </w:r>
      <w:r>
        <w:t>)</w:t>
      </w:r>
    </w:p>
    <w:p w14:paraId="73BA2586" w14:textId="0963CD42" w:rsidR="00FD49D8" w:rsidRDefault="00FD49D8">
      <w:r>
        <w:t xml:space="preserve">“Two classes were especially fruitful for my later work as a scholar. In my first year, as I have mentioned, I took two semesters of ‘Hellenistic Moralists and the New Testament’ with </w:t>
      </w:r>
      <w:r w:rsidR="004A5228">
        <w:t xml:space="preserve">[Abraham] </w:t>
      </w:r>
      <w:r>
        <w:t>Malherbe.</w:t>
      </w:r>
      <w:r w:rsidR="004A5228">
        <w:rPr>
          <w:rStyle w:val="FootnoteReference"/>
        </w:rPr>
        <w:footnoteReference w:id="1"/>
      </w:r>
      <w:r>
        <w:t xml:space="preserve"> In the first semester, I chose to pursue the topic of how sophists and philosophers used polemic against each other. I read and annotated all of Lucian of Samosata, Plutarch, Epictetus, and </w:t>
      </w:r>
      <w:proofErr w:type="spellStart"/>
      <w:r>
        <w:t>Dio</w:t>
      </w:r>
      <w:proofErr w:type="spellEnd"/>
      <w:r>
        <w:t xml:space="preserve"> Chrysostom, as well as parts of Aelius Aristides and Seneca; I compiled a huge body of notes on this rhetoric, and my typed class presentation ran to some thirty pages. In the second semester, under Malherbe’s direction, I applied all this analysis to a ma</w:t>
      </w:r>
      <w:r w:rsidR="00981106">
        <w:t>j</w:t>
      </w:r>
      <w:r>
        <w:t>or paper (some forty pages long) on the polemic of the Pastoral Letters.</w:t>
      </w:r>
      <w:r w:rsidR="00981106">
        <w:rPr>
          <w:rStyle w:val="FootnoteReference"/>
        </w:rPr>
        <w:footnoteReference w:id="2"/>
      </w:r>
      <w:r>
        <w:t xml:space="preserve"> I argued that the recent judgment on this topic by Robert Karris of Harvard was wrong,</w:t>
      </w:r>
      <w:r w:rsidR="004A5228">
        <w:rPr>
          <w:rStyle w:val="FootnoteReference"/>
        </w:rPr>
        <w:footnoteReference w:id="3"/>
      </w:r>
      <w:r>
        <w:t xml:space="preserve"> and that the polemic served, not to establish Paul’s authority (as Karris argued), but as a foil for Paul’s positive </w:t>
      </w:r>
      <w:proofErr w:type="spellStart"/>
      <w:r>
        <w:rPr>
          <w:i/>
          <w:iCs/>
        </w:rPr>
        <w:t>protrepsis</w:t>
      </w:r>
      <w:proofErr w:type="spellEnd"/>
      <w:r>
        <w:rPr>
          <w:i/>
          <w:iCs/>
        </w:rPr>
        <w:t xml:space="preserve"> </w:t>
      </w:r>
      <w:r>
        <w:t>(exhortation) of his delegates, Timothy and Titus. This immersion in the rhetoric of Greco-Roman philosophers has paid many dividends over the years. Malherbe persuaded a student who had come to the program convinced that the Jewish context of nascent Christianity was all-important, that the Greco-Roman world was at least as significant, even if he carried this to a humorous extreme: in an advising session, he asked why in the world I was spending so much time on Hebrew: ‘All you need to do is read the Septuagint’ (the ancient Greek translation of the Hebrew Bible).” (81)</w:t>
      </w:r>
    </w:p>
    <w:p w14:paraId="45DE307F" w14:textId="77777777" w:rsidR="00FD49D8" w:rsidRDefault="00FD49D8"/>
    <w:p w14:paraId="64FCC1E8" w14:textId="779ACD02" w:rsidR="00FD49D8" w:rsidRDefault="00B51FB1">
      <w:r>
        <w:t>(From “Emory University (1992-2001)”</w:t>
      </w:r>
      <w:r w:rsidR="00984A6C">
        <w:t>; age: ~52</w:t>
      </w:r>
      <w:r>
        <w:t>)</w:t>
      </w:r>
    </w:p>
    <w:p w14:paraId="3B8299E5" w14:textId="72C86152" w:rsidR="00B51FB1" w:rsidRDefault="00B51FB1">
      <w:r>
        <w:t>“Almost simultaneously, I also published commentaries on Paul’s letters to his delegates Timothy and Titus and on his Letter to the Romans.</w:t>
      </w:r>
      <w:r w:rsidR="00984A6C">
        <w:rPr>
          <w:rStyle w:val="FootnoteReference"/>
        </w:rPr>
        <w:footnoteReference w:id="4"/>
      </w:r>
      <w:r>
        <w:t xml:space="preserve"> These appeared in series that were more popular, but they nevertheless enabled me to develop further my perspectives on Paul. In the Romans commentary, for example, I extrapolated from my early work on the ‘faith of Jesus’ in Romans to read the letter as having a fundamentally narrative character</w:t>
      </w:r>
      <w:r>
        <w:rPr>
          <w:rFonts w:ascii="Calibri" w:hAnsi="Calibri" w:cs="Calibri"/>
        </w:rPr>
        <w:t>—</w:t>
      </w:r>
      <w:r>
        <w:t>an approach that has been usefully appropriated and extended by later works. My popular commentary on the Pastorals coincided with a scholarly debate with Margaret Mitchell initiated by a paper on 1 Timothy that I had given at the SBL convention.</w:t>
      </w:r>
      <w:r w:rsidR="00F038D1">
        <w:rPr>
          <w:rStyle w:val="FootnoteReference"/>
        </w:rPr>
        <w:footnoteReference w:id="5"/>
      </w:r>
      <w:r>
        <w:t xml:space="preserve"> Mitchell is a first-rate scholar</w:t>
      </w:r>
      <w:r>
        <w:rPr>
          <w:rFonts w:ascii="Calibri" w:hAnsi="Calibri" w:cs="Calibri"/>
        </w:rPr>
        <w:t>—</w:t>
      </w:r>
      <w:r>
        <w:t xml:space="preserve">in fact, Carl </w:t>
      </w:r>
      <w:r>
        <w:lastRenderedPageBreak/>
        <w:t>[Holladay] and I had seriously tried to convince her to leave the University of Chicago Divinity School and come teach at Emory</w:t>
      </w:r>
      <w:r>
        <w:rPr>
          <w:rFonts w:ascii="Calibri" w:hAnsi="Calibri" w:cs="Calibri"/>
        </w:rPr>
        <w:t>—</w:t>
      </w:r>
      <w:r>
        <w:t>but I was convinced that her objections to my position were erroneous. The debate, however inconclusive for the moment, sharpened my appetite for further work on these letters, an appetite that found some satisfaction in a major commentary on First and Second Timothy in the next decade.”</w:t>
      </w:r>
      <w:r w:rsidR="0041603A">
        <w:t xml:space="preserve"> (146)</w:t>
      </w:r>
    </w:p>
    <w:p w14:paraId="653BCF4E" w14:textId="77777777" w:rsidR="0041603A" w:rsidRDefault="0041603A"/>
    <w:p w14:paraId="318C1C1C" w14:textId="3529CAD7" w:rsidR="0041603A" w:rsidRDefault="0041603A">
      <w:r>
        <w:t>(From “Emory University (2001-2016)”</w:t>
      </w:r>
      <w:r w:rsidR="00984A6C">
        <w:t>; age: ~57</w:t>
      </w:r>
      <w:r>
        <w:t>)</w:t>
      </w:r>
    </w:p>
    <w:p w14:paraId="1535306E" w14:textId="5D20B7BB" w:rsidR="0041603A" w:rsidRDefault="0041603A">
      <w:r>
        <w:t xml:space="preserve">“The research I had begun already at Yale in the three letters of Paul to his delegates (the so-called Pastoral Epistles) was completed with my second entry in the Anchor Bible commentary series, </w:t>
      </w:r>
      <w:r>
        <w:rPr>
          <w:i/>
          <w:iCs/>
        </w:rPr>
        <w:t>The First and Second Letter to Timothy</w:t>
      </w:r>
      <w:r>
        <w:t>.</w:t>
      </w:r>
      <w:r w:rsidR="00984A6C">
        <w:rPr>
          <w:rStyle w:val="FootnoteReference"/>
        </w:rPr>
        <w:footnoteReference w:id="6"/>
      </w:r>
      <w:r>
        <w:t xml:space="preserve"> I did not treat the letter to Titus explicitly, because a volume on that short letter had appeared already in the Anchor Bible series, written by Jerome Quinn,</w:t>
      </w:r>
      <w:r w:rsidR="00295B36">
        <w:rPr>
          <w:rStyle w:val="FootnoteReference"/>
        </w:rPr>
        <w:footnoteReference w:id="7"/>
      </w:r>
      <w:r>
        <w:t xml:space="preserve"> whose untimely death prevented his working through all three letters. With the majority of scholars, Quinn regarded them as pseudonymous but made the innovative suggestion that Luke wrote them as the third volume of Luke-Acts.</w:t>
      </w:r>
      <w:r w:rsidR="00295B36">
        <w:rPr>
          <w:rStyle w:val="FootnoteReference"/>
        </w:rPr>
        <w:footnoteReference w:id="8"/>
      </w:r>
    </w:p>
    <w:p w14:paraId="6A6B6651" w14:textId="4F007B6E" w:rsidR="0041603A" w:rsidRPr="0041603A" w:rsidRDefault="0041603A">
      <w:r>
        <w:t>“My approach was entirely different, arguing for the authenticity of all three letters, first, by challenging the conventional criteria for determining authenticity, second, by proposing a new model for understanding Pauline authorship</w:t>
      </w:r>
      <w:r>
        <w:rPr>
          <w:rFonts w:ascii="Calibri" w:hAnsi="Calibri" w:cs="Calibri"/>
        </w:rPr>
        <w:t>—he ‘authorized but did not necessarily write’ all thirteen letters ascribed to him during his ministry—and third, by showing that not the passage of time but the rhetorical purpose of each delegate letter best accounts for their distinctiveness within the Pauline corpus. As in my James volume, I provided a complete history of interpretation—more extensive even than that concerning James—from the patristic period to the present. Of particular importance was my demonstrating how the ‘consensus’ view of scholarship was based not on the power of argument but on the weight of custom. My employment of the ‘sociology of knowledge’ with respect to academic convention was never more pertinent.” (165)</w:t>
      </w:r>
    </w:p>
    <w:p w14:paraId="6DB63930" w14:textId="77777777" w:rsidR="00080FC0" w:rsidRDefault="00080FC0"/>
    <w:p w14:paraId="676153E2" w14:textId="77777777" w:rsidR="00080FC0" w:rsidRDefault="00080FC0">
      <w:pPr>
        <w:rPr>
          <w:u w:val="single"/>
        </w:rPr>
      </w:pPr>
      <w:r>
        <w:rPr>
          <w:u w:val="single"/>
        </w:rPr>
        <w:br/>
      </w:r>
    </w:p>
    <w:p w14:paraId="6273D6A1" w14:textId="77777777" w:rsidR="00080FC0" w:rsidRDefault="00080FC0">
      <w:pPr>
        <w:rPr>
          <w:u w:val="single"/>
        </w:rPr>
      </w:pPr>
      <w:r>
        <w:rPr>
          <w:u w:val="single"/>
        </w:rPr>
        <w:br w:type="page"/>
      </w:r>
    </w:p>
    <w:p w14:paraId="1F59E7D5" w14:textId="1BDC0335" w:rsidR="00080FC0" w:rsidRDefault="00080FC0">
      <w:pPr>
        <w:rPr>
          <w:u w:val="single"/>
        </w:rPr>
      </w:pPr>
      <w:r w:rsidRPr="00080FC0">
        <w:rPr>
          <w:u w:val="single"/>
        </w:rPr>
        <w:lastRenderedPageBreak/>
        <w:t>Luke Timothy Johnson on the Pastorals</w:t>
      </w:r>
    </w:p>
    <w:p w14:paraId="041BF071" w14:textId="77777777" w:rsidR="00080FC0" w:rsidRDefault="00080FC0">
      <w:pPr>
        <w:rPr>
          <w:u w:val="single"/>
        </w:rPr>
      </w:pPr>
    </w:p>
    <w:p w14:paraId="799D77F3" w14:textId="103A66F8" w:rsidR="00080FC0" w:rsidRPr="00C57C7D" w:rsidRDefault="00080FC0" w:rsidP="00080FC0">
      <w:pPr>
        <w:spacing w:after="240"/>
        <w:ind w:left="720" w:hanging="720"/>
        <w:rPr>
          <w:rFonts w:eastAsia="Arial"/>
          <w:color w:val="000000" w:themeColor="text1"/>
        </w:rPr>
      </w:pPr>
      <w:bookmarkStart w:id="6" w:name="_Hlk26068125"/>
      <w:bookmarkStart w:id="7" w:name="_Hlk26066092"/>
      <w:r w:rsidRPr="00C57C7D">
        <w:rPr>
          <w:rFonts w:eastAsia="Arial"/>
          <w:color w:val="000000" w:themeColor="text1"/>
        </w:rPr>
        <w:t>Johnson, Luke Timothy</w:t>
      </w:r>
      <w:r>
        <w:rPr>
          <w:rFonts w:eastAsia="Arial"/>
          <w:color w:val="000000" w:themeColor="text1"/>
        </w:rPr>
        <w:t>.</w:t>
      </w:r>
      <w:r w:rsidRPr="00C57C7D">
        <w:rPr>
          <w:rFonts w:eastAsia="Arial"/>
          <w:color w:val="000000" w:themeColor="text1"/>
        </w:rPr>
        <w:t xml:space="preserve"> “II Timothy and the Polemic against False Teachers: A Reexamination.” </w:t>
      </w:r>
      <w:r w:rsidRPr="00C57C7D">
        <w:rPr>
          <w:rFonts w:eastAsia="Arial"/>
          <w:i/>
          <w:color w:val="000000" w:themeColor="text1"/>
        </w:rPr>
        <w:t>Journal of Religious Studies</w:t>
      </w:r>
      <w:r w:rsidRPr="00C57C7D">
        <w:rPr>
          <w:rFonts w:eastAsia="Arial"/>
          <w:color w:val="000000" w:themeColor="text1"/>
        </w:rPr>
        <w:t xml:space="preserve"> 6–7 (1978): 1–26</w:t>
      </w:r>
      <w:r w:rsidR="007817C9">
        <w:rPr>
          <w:rFonts w:eastAsia="Arial"/>
          <w:color w:val="000000" w:themeColor="text1"/>
        </w:rPr>
        <w:t>. R</w:t>
      </w:r>
      <w:r w:rsidRPr="00C57C7D">
        <w:rPr>
          <w:rFonts w:eastAsia="Arial"/>
          <w:color w:val="000000" w:themeColor="text1"/>
        </w:rPr>
        <w:t>epr</w:t>
      </w:r>
      <w:r w:rsidR="00295B36">
        <w:rPr>
          <w:rFonts w:eastAsia="Arial"/>
          <w:color w:val="000000" w:themeColor="text1"/>
        </w:rPr>
        <w:t>.</w:t>
      </w:r>
      <w:r w:rsidRPr="00C57C7D">
        <w:rPr>
          <w:rFonts w:eastAsia="Arial"/>
          <w:color w:val="000000" w:themeColor="text1"/>
        </w:rPr>
        <w:t xml:space="preserve">, </w:t>
      </w:r>
      <w:r w:rsidR="007817C9">
        <w:rPr>
          <w:rFonts w:eastAsia="Arial"/>
          <w:color w:val="000000" w:themeColor="text1"/>
        </w:rPr>
        <w:t xml:space="preserve">pages 331–62 in </w:t>
      </w:r>
      <w:r w:rsidRPr="00C57C7D">
        <w:rPr>
          <w:rFonts w:eastAsia="Arial"/>
          <w:color w:val="000000" w:themeColor="text1"/>
        </w:rPr>
        <w:t xml:space="preserve">Luke Timothy Johnson, </w:t>
      </w:r>
      <w:r w:rsidRPr="00C57C7D">
        <w:rPr>
          <w:rFonts w:eastAsia="Arial"/>
          <w:i/>
          <w:iCs/>
          <w:color w:val="000000" w:themeColor="text1"/>
        </w:rPr>
        <w:t xml:space="preserve">Contested Issues in Christian </w:t>
      </w:r>
      <w:proofErr w:type="gramStart"/>
      <w:r w:rsidRPr="00C57C7D">
        <w:rPr>
          <w:rFonts w:eastAsia="Arial"/>
          <w:i/>
          <w:iCs/>
          <w:color w:val="000000" w:themeColor="text1"/>
        </w:rPr>
        <w:t>Origins</w:t>
      </w:r>
      <w:proofErr w:type="gramEnd"/>
      <w:r w:rsidRPr="00C57C7D">
        <w:rPr>
          <w:rFonts w:eastAsia="Arial"/>
          <w:i/>
          <w:iCs/>
          <w:color w:val="000000" w:themeColor="text1"/>
        </w:rPr>
        <w:t xml:space="preserve"> and the New Testament: Collected Essays</w:t>
      </w:r>
      <w:r w:rsidR="007817C9">
        <w:rPr>
          <w:rFonts w:eastAsia="Arial"/>
          <w:color w:val="000000" w:themeColor="text1"/>
        </w:rPr>
        <w:t>.</w:t>
      </w:r>
      <w:r w:rsidRPr="00C57C7D">
        <w:rPr>
          <w:rFonts w:eastAsia="Arial"/>
          <w:color w:val="000000" w:themeColor="text1"/>
        </w:rPr>
        <w:t xml:space="preserve"> </w:t>
      </w:r>
      <w:r w:rsidR="00295B36">
        <w:rPr>
          <w:rFonts w:eastAsia="Arial"/>
          <w:color w:val="000000" w:themeColor="text1"/>
        </w:rPr>
        <w:t>NovTSup</w:t>
      </w:r>
      <w:r w:rsidRPr="00C57C7D">
        <w:rPr>
          <w:rFonts w:eastAsia="Arial"/>
          <w:color w:val="000000" w:themeColor="text1"/>
        </w:rPr>
        <w:t xml:space="preserve"> 146</w:t>
      </w:r>
      <w:r w:rsidR="007817C9">
        <w:rPr>
          <w:rFonts w:eastAsia="Arial"/>
          <w:color w:val="000000" w:themeColor="text1"/>
        </w:rPr>
        <w:t>.</w:t>
      </w:r>
      <w:r w:rsidRPr="00C57C7D">
        <w:rPr>
          <w:rFonts w:eastAsia="Arial"/>
          <w:color w:val="000000" w:themeColor="text1"/>
        </w:rPr>
        <w:t xml:space="preserve"> Leiden: Brill, 2013</w:t>
      </w:r>
      <w:r w:rsidR="00295B36">
        <w:rPr>
          <w:rFonts w:eastAsia="Arial"/>
          <w:color w:val="000000" w:themeColor="text1"/>
        </w:rPr>
        <w:t>.</w:t>
      </w:r>
    </w:p>
    <w:p w14:paraId="26FD0FFD" w14:textId="77777777" w:rsidR="00295B36" w:rsidRPr="00DB7C03" w:rsidRDefault="00295B36" w:rsidP="00295B36">
      <w:pPr>
        <w:spacing w:after="240"/>
        <w:ind w:left="720" w:hanging="720"/>
        <w:rPr>
          <w:rFonts w:eastAsia="Arial"/>
          <w:color w:val="000000" w:themeColor="text1"/>
        </w:rPr>
      </w:pPr>
      <w:r>
        <w:rPr>
          <w:rFonts w:eastAsia="Arial"/>
          <w:color w:val="000000" w:themeColor="text1"/>
        </w:rPr>
        <w:t xml:space="preserve">________. </w:t>
      </w:r>
      <w:r>
        <w:rPr>
          <w:rFonts w:eastAsia="Arial"/>
          <w:i/>
          <w:iCs/>
          <w:color w:val="000000" w:themeColor="text1"/>
        </w:rPr>
        <w:t>1 Timothy, 2 Timothy, Titus</w:t>
      </w:r>
      <w:r>
        <w:rPr>
          <w:rFonts w:eastAsia="Arial"/>
          <w:color w:val="000000" w:themeColor="text1"/>
        </w:rPr>
        <w:t>. Knox Preaching Guides. John Knox, 1987.</w:t>
      </w:r>
    </w:p>
    <w:p w14:paraId="60DA35CF" w14:textId="77777777" w:rsidR="00295B36" w:rsidRDefault="00295B36" w:rsidP="00295B36">
      <w:pPr>
        <w:spacing w:after="240"/>
        <w:ind w:left="720" w:hanging="720"/>
        <w:rPr>
          <w:rFonts w:eastAsia="Arial"/>
          <w:iCs/>
          <w:color w:val="000000" w:themeColor="text1"/>
        </w:rPr>
      </w:pPr>
      <w:r w:rsidRPr="00C57C7D">
        <w:rPr>
          <w:rFonts w:eastAsia="Arial"/>
          <w:iCs/>
          <w:color w:val="000000" w:themeColor="text1"/>
        </w:rPr>
        <w:t xml:space="preserve">________. </w:t>
      </w:r>
      <w:r w:rsidRPr="00C57C7D">
        <w:rPr>
          <w:rFonts w:eastAsia="Arial"/>
          <w:i/>
          <w:iCs/>
          <w:color w:val="000000" w:themeColor="text1"/>
        </w:rPr>
        <w:t>Letters to Paul’s Delegates: 1 Timothy, 2 Timothy, Titus</w:t>
      </w:r>
      <w:r w:rsidRPr="00C57C7D">
        <w:rPr>
          <w:rFonts w:eastAsia="Arial"/>
          <w:iCs/>
          <w:color w:val="000000" w:themeColor="text1"/>
        </w:rPr>
        <w:t xml:space="preserve">. The New Testament in Context. Valley Forge, PA: Trinity Press International, 1996. </w:t>
      </w:r>
    </w:p>
    <w:p w14:paraId="73603326" w14:textId="77777777" w:rsidR="00295B36" w:rsidRPr="00C57C7D" w:rsidRDefault="00295B36" w:rsidP="00295B36">
      <w:pPr>
        <w:spacing w:after="240"/>
        <w:ind w:left="720" w:hanging="720"/>
        <w:rPr>
          <w:rFonts w:eastAsia="Arial"/>
          <w:iCs/>
          <w:color w:val="000000" w:themeColor="text1"/>
        </w:rPr>
      </w:pPr>
      <w:r>
        <w:rPr>
          <w:rFonts w:eastAsia="Arial"/>
          <w:iCs/>
          <w:color w:val="000000" w:themeColor="text1"/>
        </w:rPr>
        <w:t xml:space="preserve">________. </w:t>
      </w:r>
      <w:bookmarkStart w:id="8" w:name="_Hlk38696596"/>
      <w:r>
        <w:rPr>
          <w:rFonts w:eastAsia="Arial"/>
          <w:iCs/>
          <w:color w:val="000000" w:themeColor="text1"/>
        </w:rPr>
        <w:t xml:space="preserve">“Response to Margaret Mitchell.” </w:t>
      </w:r>
      <w:r w:rsidRPr="00C57C7D">
        <w:rPr>
          <w:rFonts w:eastAsia="Arial"/>
          <w:i/>
          <w:color w:val="000000" w:themeColor="text1"/>
        </w:rPr>
        <w:t>Horizons in Biblical Theology</w:t>
      </w:r>
      <w:r w:rsidRPr="00C57C7D">
        <w:rPr>
          <w:rFonts w:eastAsia="Arial"/>
          <w:color w:val="000000" w:themeColor="text1"/>
        </w:rPr>
        <w:t xml:space="preserve"> 21</w:t>
      </w:r>
      <w:r>
        <w:rPr>
          <w:rFonts w:eastAsia="Arial"/>
          <w:color w:val="000000" w:themeColor="text1"/>
        </w:rPr>
        <w:t>.2</w:t>
      </w:r>
      <w:r w:rsidRPr="00C57C7D">
        <w:rPr>
          <w:rFonts w:eastAsia="Arial"/>
          <w:color w:val="000000" w:themeColor="text1"/>
        </w:rPr>
        <w:t xml:space="preserve"> (1999):</w:t>
      </w:r>
      <w:r>
        <w:rPr>
          <w:rFonts w:eastAsia="Arial"/>
          <w:color w:val="000000" w:themeColor="text1"/>
        </w:rPr>
        <w:t xml:space="preserve"> 140–44.</w:t>
      </w:r>
    </w:p>
    <w:bookmarkEnd w:id="8"/>
    <w:p w14:paraId="2F9DAE00" w14:textId="6084DE0B" w:rsidR="00295B36" w:rsidRPr="00295B36" w:rsidRDefault="00295B36" w:rsidP="00295B36">
      <w:pPr>
        <w:spacing w:after="240"/>
        <w:ind w:left="720" w:hanging="720"/>
        <w:rPr>
          <w:rFonts w:eastAsia="Arial"/>
          <w:color w:val="000000" w:themeColor="text1"/>
        </w:rPr>
      </w:pPr>
      <w:r w:rsidRPr="00C57C7D">
        <w:rPr>
          <w:rFonts w:eastAsia="Arial"/>
          <w:color w:val="000000" w:themeColor="text1"/>
        </w:rPr>
        <w:t xml:space="preserve">________. </w:t>
      </w:r>
      <w:bookmarkStart w:id="9" w:name="_Hlk522386148"/>
      <w:r w:rsidRPr="00C57C7D">
        <w:rPr>
          <w:rFonts w:eastAsia="Arial"/>
          <w:color w:val="000000" w:themeColor="text1"/>
        </w:rPr>
        <w:t>“</w:t>
      </w:r>
      <w:proofErr w:type="spellStart"/>
      <w:r w:rsidRPr="00C57C7D">
        <w:rPr>
          <w:rFonts w:eastAsia="Arial"/>
          <w:i/>
          <w:color w:val="000000" w:themeColor="text1"/>
        </w:rPr>
        <w:t>Oikonomia</w:t>
      </w:r>
      <w:proofErr w:type="spellEnd"/>
      <w:r w:rsidRPr="00C57C7D">
        <w:rPr>
          <w:rFonts w:eastAsia="Arial"/>
          <w:i/>
          <w:color w:val="000000" w:themeColor="text1"/>
        </w:rPr>
        <w:t xml:space="preserve"> </w:t>
      </w:r>
      <w:proofErr w:type="spellStart"/>
      <w:r w:rsidRPr="00C57C7D">
        <w:rPr>
          <w:rFonts w:eastAsia="Arial"/>
          <w:i/>
          <w:color w:val="000000" w:themeColor="text1"/>
        </w:rPr>
        <w:t>Theou</w:t>
      </w:r>
      <w:proofErr w:type="spellEnd"/>
      <w:r w:rsidRPr="00C57C7D">
        <w:rPr>
          <w:rFonts w:eastAsia="Arial"/>
          <w:color w:val="000000" w:themeColor="text1"/>
        </w:rPr>
        <w:t xml:space="preserve">: The Theological Voice of 1 Timothy from the </w:t>
      </w:r>
      <w:proofErr w:type="spellStart"/>
      <w:r w:rsidRPr="00C57C7D">
        <w:rPr>
          <w:rFonts w:eastAsia="Arial"/>
          <w:color w:val="000000" w:themeColor="text1"/>
        </w:rPr>
        <w:t>Persective</w:t>
      </w:r>
      <w:proofErr w:type="spellEnd"/>
      <w:r w:rsidRPr="00C57C7D">
        <w:rPr>
          <w:rFonts w:eastAsia="Arial"/>
          <w:color w:val="000000" w:themeColor="text1"/>
        </w:rPr>
        <w:t xml:space="preserve"> of Pauline Authorship.” </w:t>
      </w:r>
      <w:r w:rsidRPr="00C57C7D">
        <w:rPr>
          <w:rFonts w:eastAsia="Arial"/>
          <w:i/>
          <w:color w:val="000000" w:themeColor="text1"/>
        </w:rPr>
        <w:t>Horizons in Biblical Theology</w:t>
      </w:r>
      <w:r w:rsidRPr="00C57C7D">
        <w:rPr>
          <w:rFonts w:eastAsia="Arial"/>
          <w:color w:val="000000" w:themeColor="text1"/>
        </w:rPr>
        <w:t xml:space="preserve"> 21</w:t>
      </w:r>
      <w:r>
        <w:rPr>
          <w:rFonts w:eastAsia="Arial"/>
          <w:color w:val="000000" w:themeColor="text1"/>
        </w:rPr>
        <w:t>.2</w:t>
      </w:r>
      <w:r w:rsidRPr="00C57C7D">
        <w:rPr>
          <w:rFonts w:eastAsia="Arial"/>
          <w:color w:val="000000" w:themeColor="text1"/>
        </w:rPr>
        <w:t xml:space="preserve"> (1999): 87–104</w:t>
      </w:r>
      <w:r w:rsidR="007817C9">
        <w:rPr>
          <w:rFonts w:eastAsia="Arial"/>
          <w:color w:val="000000" w:themeColor="text1"/>
        </w:rPr>
        <w:t>.</w:t>
      </w:r>
      <w:r w:rsidRPr="00C57C7D">
        <w:rPr>
          <w:rFonts w:eastAsia="Arial"/>
          <w:color w:val="000000" w:themeColor="text1"/>
        </w:rPr>
        <w:t xml:space="preserve"> </w:t>
      </w:r>
      <w:r w:rsidR="007817C9">
        <w:rPr>
          <w:rFonts w:eastAsia="Arial"/>
          <w:color w:val="000000" w:themeColor="text1"/>
        </w:rPr>
        <w:t>R</w:t>
      </w:r>
      <w:r w:rsidRPr="00C57C7D">
        <w:rPr>
          <w:rFonts w:eastAsia="Arial"/>
          <w:color w:val="000000" w:themeColor="text1"/>
        </w:rPr>
        <w:t>epr</w:t>
      </w:r>
      <w:r>
        <w:rPr>
          <w:rFonts w:eastAsia="Arial"/>
          <w:color w:val="000000" w:themeColor="text1"/>
        </w:rPr>
        <w:t>.</w:t>
      </w:r>
      <w:r w:rsidRPr="00C57C7D">
        <w:rPr>
          <w:rFonts w:eastAsia="Arial"/>
          <w:color w:val="000000" w:themeColor="text1"/>
        </w:rPr>
        <w:t xml:space="preserve">, Johnson, </w:t>
      </w:r>
      <w:r w:rsidRPr="00C57C7D">
        <w:rPr>
          <w:rFonts w:eastAsia="Arial"/>
          <w:i/>
          <w:iCs/>
          <w:color w:val="000000" w:themeColor="text1"/>
        </w:rPr>
        <w:t xml:space="preserve">Contested Issues in Christian </w:t>
      </w:r>
      <w:proofErr w:type="gramStart"/>
      <w:r w:rsidRPr="00C57C7D">
        <w:rPr>
          <w:rFonts w:eastAsia="Arial"/>
          <w:i/>
          <w:iCs/>
          <w:color w:val="000000" w:themeColor="text1"/>
        </w:rPr>
        <w:t>Origins</w:t>
      </w:r>
      <w:proofErr w:type="gramEnd"/>
      <w:r w:rsidRPr="00C57C7D">
        <w:rPr>
          <w:rFonts w:eastAsia="Arial"/>
          <w:i/>
          <w:iCs/>
          <w:color w:val="000000" w:themeColor="text1"/>
        </w:rPr>
        <w:t xml:space="preserve"> and the New Testament</w:t>
      </w:r>
      <w:bookmarkEnd w:id="9"/>
      <w:r>
        <w:rPr>
          <w:rFonts w:eastAsia="Arial"/>
          <w:color w:val="000000" w:themeColor="text1"/>
        </w:rPr>
        <w:t xml:space="preserve">, </w:t>
      </w:r>
      <w:r w:rsidRPr="00C57C7D">
        <w:rPr>
          <w:rFonts w:eastAsia="Arial"/>
          <w:color w:val="000000" w:themeColor="text1"/>
        </w:rPr>
        <w:t>383‒403</w:t>
      </w:r>
      <w:r>
        <w:rPr>
          <w:rFonts w:eastAsia="Arial"/>
          <w:color w:val="000000" w:themeColor="text1"/>
        </w:rPr>
        <w:t>.</w:t>
      </w:r>
    </w:p>
    <w:p w14:paraId="251FAEA4" w14:textId="77777777" w:rsidR="00295B36" w:rsidRPr="00C57C7D" w:rsidRDefault="00295B36" w:rsidP="00295B36">
      <w:pPr>
        <w:widowControl w:val="0"/>
        <w:spacing w:after="240"/>
        <w:ind w:left="720" w:hanging="720"/>
        <w:rPr>
          <w:rFonts w:eastAsia="Arial"/>
          <w:iCs/>
          <w:color w:val="000000" w:themeColor="text1"/>
        </w:rPr>
      </w:pPr>
      <w:r w:rsidRPr="00C57C7D">
        <w:rPr>
          <w:rFonts w:eastAsia="Arial"/>
          <w:iCs/>
          <w:color w:val="000000" w:themeColor="text1"/>
        </w:rPr>
        <w:t xml:space="preserve">________. </w:t>
      </w:r>
      <w:r w:rsidRPr="00C57C7D">
        <w:rPr>
          <w:rFonts w:eastAsia="Arial"/>
          <w:i/>
          <w:iCs/>
          <w:color w:val="000000" w:themeColor="text1"/>
        </w:rPr>
        <w:t>The First and Second Letters to Timothy</w:t>
      </w:r>
      <w:r w:rsidRPr="00C57C7D">
        <w:rPr>
          <w:rFonts w:eastAsia="Arial"/>
          <w:iCs/>
          <w:color w:val="000000" w:themeColor="text1"/>
        </w:rPr>
        <w:t>. Anchor Bible 35A. Garden City, NY: Doubleday, 2001.</w:t>
      </w:r>
    </w:p>
    <w:p w14:paraId="2519F759" w14:textId="77777777" w:rsidR="00295B36" w:rsidRPr="00295B36" w:rsidRDefault="00295B36" w:rsidP="00295B36">
      <w:pPr>
        <w:spacing w:after="240"/>
        <w:ind w:left="720" w:hanging="720"/>
        <w:rPr>
          <w:rFonts w:eastAsia="Arial"/>
          <w:color w:val="000000" w:themeColor="text1"/>
          <w:u w:val="single"/>
        </w:rPr>
      </w:pPr>
      <w:r w:rsidRPr="00295B36">
        <w:rPr>
          <w:rFonts w:eastAsia="Arial"/>
          <w:color w:val="000000" w:themeColor="text1"/>
        </w:rPr>
        <w:t xml:space="preserve">________. </w:t>
      </w:r>
      <w:r w:rsidRPr="00295B36">
        <w:rPr>
          <w:rFonts w:eastAsia="Arial"/>
          <w:i/>
          <w:color w:val="000000" w:themeColor="text1"/>
        </w:rPr>
        <w:t xml:space="preserve">The Writings of the New Testament: An Interpretation. </w:t>
      </w:r>
      <w:r w:rsidRPr="00295B36">
        <w:rPr>
          <w:rFonts w:eastAsia="Arial"/>
          <w:color w:val="000000" w:themeColor="text1"/>
        </w:rPr>
        <w:t>3</w:t>
      </w:r>
      <w:r w:rsidRPr="00295B36">
        <w:rPr>
          <w:rFonts w:eastAsia="Arial"/>
          <w:color w:val="000000" w:themeColor="text1"/>
          <w:vertAlign w:val="superscript"/>
        </w:rPr>
        <w:t>rd</w:t>
      </w:r>
      <w:r w:rsidRPr="00295B36">
        <w:rPr>
          <w:rFonts w:eastAsia="Arial"/>
          <w:color w:val="000000" w:themeColor="text1"/>
        </w:rPr>
        <w:t xml:space="preserve"> edition. London: SCM, 2010. [“Pastoral Letters: 1 Timothy, 2 Timothy, Titus,” pp. 375–401]</w:t>
      </w:r>
    </w:p>
    <w:p w14:paraId="290F9FF0" w14:textId="02CFF9E4" w:rsidR="00080FC0" w:rsidRPr="007817C9" w:rsidRDefault="00080FC0" w:rsidP="00080FC0">
      <w:pPr>
        <w:spacing w:after="240"/>
        <w:ind w:left="720" w:hanging="720"/>
        <w:rPr>
          <w:rFonts w:eastAsia="Arial"/>
          <w:color w:val="000000" w:themeColor="text1"/>
        </w:rPr>
      </w:pPr>
      <w:r w:rsidRPr="00C57C7D">
        <w:rPr>
          <w:rFonts w:eastAsia="Arial"/>
          <w:color w:val="000000" w:themeColor="text1"/>
        </w:rPr>
        <w:t xml:space="preserve">________. </w:t>
      </w:r>
      <w:bookmarkStart w:id="10" w:name="_Hlk36467595"/>
      <w:r w:rsidRPr="00C57C7D">
        <w:rPr>
          <w:rFonts w:eastAsia="Arial"/>
          <w:color w:val="000000" w:themeColor="text1"/>
        </w:rPr>
        <w:t xml:space="preserve">“1 Timothy 1,1–20: The Shape of the Struggle.” Pages 19–39 in </w:t>
      </w:r>
      <w:r w:rsidRPr="00C57C7D">
        <w:rPr>
          <w:rFonts w:eastAsia="Arial"/>
          <w:i/>
          <w:color w:val="000000" w:themeColor="text1"/>
        </w:rPr>
        <w:t>1 Timothy Reconsidered.</w:t>
      </w:r>
      <w:r w:rsidRPr="00C57C7D">
        <w:rPr>
          <w:rFonts w:eastAsia="Arial"/>
          <w:color w:val="000000" w:themeColor="text1"/>
        </w:rPr>
        <w:t xml:space="preserve"> Edited by Karl Paul </w:t>
      </w:r>
      <w:proofErr w:type="spellStart"/>
      <w:r w:rsidRPr="00C57C7D">
        <w:rPr>
          <w:rFonts w:eastAsia="Arial"/>
          <w:color w:val="000000" w:themeColor="text1"/>
        </w:rPr>
        <w:t>Donfried</w:t>
      </w:r>
      <w:proofErr w:type="spellEnd"/>
      <w:r w:rsidRPr="00C57C7D">
        <w:rPr>
          <w:rFonts w:eastAsia="Arial"/>
          <w:color w:val="000000" w:themeColor="text1"/>
        </w:rPr>
        <w:t xml:space="preserve">. Colloquium </w:t>
      </w:r>
      <w:proofErr w:type="spellStart"/>
      <w:r w:rsidRPr="00C57C7D">
        <w:rPr>
          <w:rFonts w:eastAsia="Arial"/>
          <w:color w:val="000000" w:themeColor="text1"/>
        </w:rPr>
        <w:t>Oecumenicum</w:t>
      </w:r>
      <w:proofErr w:type="spellEnd"/>
      <w:r w:rsidRPr="00C57C7D">
        <w:rPr>
          <w:rFonts w:eastAsia="Arial"/>
          <w:color w:val="000000" w:themeColor="text1"/>
        </w:rPr>
        <w:t xml:space="preserve"> </w:t>
      </w:r>
      <w:proofErr w:type="spellStart"/>
      <w:r w:rsidRPr="00C57C7D">
        <w:rPr>
          <w:rFonts w:eastAsia="Arial"/>
          <w:color w:val="000000" w:themeColor="text1"/>
        </w:rPr>
        <w:t>Paulinum</w:t>
      </w:r>
      <w:proofErr w:type="spellEnd"/>
      <w:r w:rsidRPr="00C57C7D">
        <w:rPr>
          <w:rFonts w:eastAsia="Arial"/>
          <w:color w:val="000000" w:themeColor="text1"/>
        </w:rPr>
        <w:t xml:space="preserve"> 18. Leuven: Peeters, 2008. Repr</w:t>
      </w:r>
      <w:r w:rsidR="007817C9">
        <w:rPr>
          <w:rFonts w:eastAsia="Arial"/>
          <w:color w:val="000000" w:themeColor="text1"/>
        </w:rPr>
        <w:t>.</w:t>
      </w:r>
      <w:r w:rsidRPr="00C57C7D">
        <w:rPr>
          <w:rFonts w:eastAsia="Arial"/>
          <w:color w:val="000000" w:themeColor="text1"/>
        </w:rPr>
        <w:t xml:space="preserve">, Johnson, </w:t>
      </w:r>
      <w:r w:rsidRPr="00C57C7D">
        <w:rPr>
          <w:rFonts w:eastAsia="Arial"/>
          <w:i/>
          <w:iCs/>
          <w:color w:val="000000" w:themeColor="text1"/>
        </w:rPr>
        <w:t xml:space="preserve">Contested Issues in Christian </w:t>
      </w:r>
      <w:proofErr w:type="gramStart"/>
      <w:r w:rsidRPr="00C57C7D">
        <w:rPr>
          <w:rFonts w:eastAsia="Arial"/>
          <w:i/>
          <w:iCs/>
          <w:color w:val="000000" w:themeColor="text1"/>
        </w:rPr>
        <w:t>Origins</w:t>
      </w:r>
      <w:proofErr w:type="gramEnd"/>
      <w:r w:rsidRPr="00C57C7D">
        <w:rPr>
          <w:rFonts w:eastAsia="Arial"/>
          <w:i/>
          <w:iCs/>
          <w:color w:val="000000" w:themeColor="text1"/>
        </w:rPr>
        <w:t xml:space="preserve"> and the New Testament</w:t>
      </w:r>
      <w:bookmarkEnd w:id="10"/>
      <w:r w:rsidR="007817C9">
        <w:rPr>
          <w:rFonts w:eastAsia="Arial"/>
          <w:color w:val="000000" w:themeColor="text1"/>
        </w:rPr>
        <w:t xml:space="preserve">, </w:t>
      </w:r>
      <w:r w:rsidR="007817C9" w:rsidRPr="00C57C7D">
        <w:rPr>
          <w:rFonts w:eastAsia="Arial"/>
          <w:color w:val="000000" w:themeColor="text1"/>
        </w:rPr>
        <w:t>363‒82</w:t>
      </w:r>
      <w:r w:rsidR="007817C9">
        <w:rPr>
          <w:rFonts w:eastAsia="Arial"/>
          <w:color w:val="000000" w:themeColor="text1"/>
        </w:rPr>
        <w:t>.</w:t>
      </w:r>
    </w:p>
    <w:p w14:paraId="1DB68D69" w14:textId="708F8072" w:rsidR="00080FC0" w:rsidRDefault="00080FC0" w:rsidP="00080FC0">
      <w:pPr>
        <w:spacing w:after="240"/>
        <w:ind w:left="720" w:hanging="720"/>
        <w:rPr>
          <w:rFonts w:eastAsia="Arial"/>
          <w:color w:val="000000" w:themeColor="text1"/>
        </w:rPr>
      </w:pPr>
      <w:r>
        <w:rPr>
          <w:rFonts w:eastAsia="Arial"/>
          <w:color w:val="000000" w:themeColor="text1"/>
        </w:rPr>
        <w:t xml:space="preserve">________. </w:t>
      </w:r>
      <w:bookmarkStart w:id="11" w:name="_Hlk40634010"/>
      <w:r>
        <w:rPr>
          <w:rFonts w:eastAsia="Arial"/>
          <w:i/>
          <w:iCs/>
          <w:color w:val="000000" w:themeColor="text1"/>
        </w:rPr>
        <w:t>The Canonical Paul</w:t>
      </w:r>
      <w:r>
        <w:rPr>
          <w:rFonts w:eastAsia="Arial"/>
          <w:color w:val="000000" w:themeColor="text1"/>
        </w:rPr>
        <w:t xml:space="preserve">, vol. 1: </w:t>
      </w:r>
      <w:r>
        <w:rPr>
          <w:rFonts w:eastAsia="Arial"/>
          <w:i/>
          <w:iCs/>
          <w:color w:val="000000" w:themeColor="text1"/>
        </w:rPr>
        <w:t>Constructing Paul</w:t>
      </w:r>
      <w:r>
        <w:rPr>
          <w:rFonts w:eastAsia="Arial"/>
          <w:color w:val="000000" w:themeColor="text1"/>
        </w:rPr>
        <w:t>. Grand Rapids: Eerdmans, 2020. [note “Letters to Paul’s Delegates Cluster,” pp. 85</w:t>
      </w:r>
      <w:r>
        <w:rPr>
          <w:rFonts w:eastAsia="Arial"/>
          <w:color w:val="000000" w:themeColor="text1"/>
        </w:rPr>
        <w:softHyphen/>
      </w:r>
      <w:r w:rsidRPr="00C57C7D">
        <w:rPr>
          <w:rFonts w:eastAsia="Arial"/>
          <w:color w:val="000000" w:themeColor="text1"/>
        </w:rPr>
        <w:t>–</w:t>
      </w:r>
      <w:r>
        <w:rPr>
          <w:rFonts w:eastAsia="Arial"/>
          <w:color w:val="000000" w:themeColor="text1"/>
        </w:rPr>
        <w:t>88; opponents in the “Letters to Delegates,” pp. 115</w:t>
      </w:r>
      <w:r w:rsidRPr="00C57C7D">
        <w:rPr>
          <w:rFonts w:eastAsia="Arial"/>
          <w:color w:val="000000" w:themeColor="text1"/>
        </w:rPr>
        <w:t>–</w:t>
      </w:r>
      <w:r>
        <w:rPr>
          <w:rFonts w:eastAsia="Arial"/>
          <w:color w:val="000000" w:themeColor="text1"/>
        </w:rPr>
        <w:t>17; “The Texture of Experience” in 1 Tim, 2 Tim, Titus, pp. 219</w:t>
      </w:r>
      <w:r w:rsidRPr="00C57C7D">
        <w:rPr>
          <w:rFonts w:eastAsia="Arial"/>
          <w:color w:val="000000" w:themeColor="text1"/>
        </w:rPr>
        <w:t>–</w:t>
      </w:r>
      <w:r>
        <w:rPr>
          <w:rFonts w:eastAsia="Arial"/>
          <w:color w:val="000000" w:themeColor="text1"/>
        </w:rPr>
        <w:t>21]</w:t>
      </w:r>
    </w:p>
    <w:p w14:paraId="7F5BC9E3" w14:textId="0643B586" w:rsidR="00080FC0" w:rsidRDefault="00080FC0" w:rsidP="00080FC0">
      <w:pPr>
        <w:ind w:left="720" w:hanging="720"/>
        <w:rPr>
          <w:rFonts w:eastAsia="Arial"/>
          <w:color w:val="000000" w:themeColor="text1"/>
        </w:rPr>
      </w:pPr>
      <w:r>
        <w:rPr>
          <w:rFonts w:eastAsia="Arial"/>
          <w:color w:val="000000" w:themeColor="text1"/>
        </w:rPr>
        <w:t xml:space="preserve">________. </w:t>
      </w:r>
      <w:r>
        <w:rPr>
          <w:rFonts w:eastAsia="Arial"/>
          <w:i/>
          <w:iCs/>
          <w:color w:val="000000" w:themeColor="text1"/>
        </w:rPr>
        <w:t>The Canonical Paul</w:t>
      </w:r>
      <w:r>
        <w:rPr>
          <w:rFonts w:eastAsia="Arial"/>
          <w:color w:val="000000" w:themeColor="text1"/>
        </w:rPr>
        <w:t xml:space="preserve">, vol. 2: </w:t>
      </w:r>
      <w:r>
        <w:rPr>
          <w:rFonts w:eastAsia="Arial"/>
          <w:i/>
          <w:iCs/>
          <w:color w:val="000000" w:themeColor="text1"/>
        </w:rPr>
        <w:t>Interpreting Paul</w:t>
      </w:r>
      <w:r>
        <w:rPr>
          <w:rFonts w:eastAsia="Arial"/>
          <w:color w:val="000000" w:themeColor="text1"/>
        </w:rPr>
        <w:t>. Grand Rapids: Eerdmans, 2021. [</w:t>
      </w:r>
      <w:r>
        <w:t>Note chaps. 20–23: “</w:t>
      </w:r>
      <w:proofErr w:type="spellStart"/>
      <w:r>
        <w:t>Oikonomia</w:t>
      </w:r>
      <w:proofErr w:type="spellEnd"/>
      <w:r>
        <w:t xml:space="preserve"> </w:t>
      </w:r>
      <w:proofErr w:type="spellStart"/>
      <w:r>
        <w:t>Theou</w:t>
      </w:r>
      <w:proofErr w:type="spellEnd"/>
      <w:r>
        <w:t>” (409–27), “The Shape of the Struggle” (428–48), “Second Timothy and the Polemic Against False Teachers” (449–80), “The Pedagogy of Grace” (481–97)</w:t>
      </w:r>
      <w:r>
        <w:rPr>
          <w:rFonts w:eastAsia="Arial"/>
          <w:color w:val="000000" w:themeColor="text1"/>
        </w:rPr>
        <w:t>]</w:t>
      </w:r>
    </w:p>
    <w:p w14:paraId="7F5CF402" w14:textId="77777777" w:rsidR="00080FC0" w:rsidRPr="002E4CE3" w:rsidRDefault="00080FC0" w:rsidP="00080FC0">
      <w:pPr>
        <w:ind w:left="720" w:hanging="720"/>
      </w:pPr>
    </w:p>
    <w:bookmarkEnd w:id="6"/>
    <w:bookmarkEnd w:id="11"/>
    <w:bookmarkEnd w:id="7"/>
    <w:p w14:paraId="6BEDF34A" w14:textId="222D977E" w:rsidR="00080FC0" w:rsidRPr="00C92EFA" w:rsidRDefault="00080FC0" w:rsidP="00080FC0">
      <w:pPr>
        <w:spacing w:after="240"/>
        <w:ind w:left="720" w:hanging="720"/>
        <w:rPr>
          <w:rFonts w:eastAsia="Arial"/>
          <w:iCs/>
          <w:color w:val="000000" w:themeColor="text1"/>
        </w:rPr>
      </w:pPr>
      <w:r>
        <w:rPr>
          <w:rFonts w:eastAsia="Arial"/>
          <w:iCs/>
          <w:color w:val="000000" w:themeColor="text1"/>
        </w:rPr>
        <w:t xml:space="preserve">________. “The Pedagogy of Grace: The Experiential Basis of Morality in Titus.” Pages 37–52 in </w:t>
      </w:r>
      <w:r w:rsidRPr="00A06C90">
        <w:rPr>
          <w:rFonts w:eastAsia="Arial"/>
          <w:i/>
          <w:color w:val="000000" w:themeColor="text1"/>
        </w:rPr>
        <w:t>“Ready for Every Good Work” (Titus 3:1): Implicit Ethics in the Letter to Titus.</w:t>
      </w:r>
      <w:r w:rsidRPr="00A06C90">
        <w:rPr>
          <w:rFonts w:eastAsia="Arial"/>
          <w:iCs/>
          <w:color w:val="000000" w:themeColor="text1"/>
        </w:rPr>
        <w:t xml:space="preserve"> </w:t>
      </w:r>
      <w:r>
        <w:rPr>
          <w:rFonts w:eastAsia="Arial"/>
          <w:iCs/>
          <w:color w:val="000000" w:themeColor="text1"/>
        </w:rPr>
        <w:t xml:space="preserve">Edited by Ruben Zimmermann and </w:t>
      </w:r>
      <w:proofErr w:type="spellStart"/>
      <w:r>
        <w:rPr>
          <w:rFonts w:eastAsia="Arial"/>
          <w:iCs/>
          <w:color w:val="000000" w:themeColor="text1"/>
        </w:rPr>
        <w:t>Dogara</w:t>
      </w:r>
      <w:proofErr w:type="spellEnd"/>
      <w:r>
        <w:rPr>
          <w:rFonts w:eastAsia="Arial"/>
          <w:iCs/>
          <w:color w:val="000000" w:themeColor="text1"/>
        </w:rPr>
        <w:t xml:space="preserve"> </w:t>
      </w:r>
      <w:proofErr w:type="spellStart"/>
      <w:r>
        <w:rPr>
          <w:rFonts w:eastAsia="Arial"/>
          <w:iCs/>
          <w:color w:val="000000" w:themeColor="text1"/>
        </w:rPr>
        <w:t>Ishaya</w:t>
      </w:r>
      <w:proofErr w:type="spellEnd"/>
      <w:r>
        <w:rPr>
          <w:rFonts w:eastAsia="Arial"/>
          <w:iCs/>
          <w:color w:val="000000" w:themeColor="text1"/>
        </w:rPr>
        <w:t xml:space="preserve"> </w:t>
      </w:r>
      <w:proofErr w:type="spellStart"/>
      <w:r>
        <w:rPr>
          <w:rFonts w:eastAsia="Arial"/>
          <w:iCs/>
          <w:color w:val="000000" w:themeColor="text1"/>
        </w:rPr>
        <w:t>Manomi</w:t>
      </w:r>
      <w:proofErr w:type="spellEnd"/>
      <w:r>
        <w:rPr>
          <w:rFonts w:eastAsia="Arial"/>
          <w:iCs/>
          <w:color w:val="000000" w:themeColor="text1"/>
        </w:rPr>
        <w:t xml:space="preserve">. </w:t>
      </w:r>
      <w:r w:rsidR="007817C9">
        <w:rPr>
          <w:rFonts w:eastAsia="Arial"/>
          <w:color w:val="000000" w:themeColor="text1"/>
        </w:rPr>
        <w:t>WUNT</w:t>
      </w:r>
      <w:r w:rsidRPr="00A06C90">
        <w:rPr>
          <w:rFonts w:eastAsia="Arial"/>
          <w:color w:val="000000" w:themeColor="text1"/>
        </w:rPr>
        <w:t> 484</w:t>
      </w:r>
      <w:r>
        <w:rPr>
          <w:rFonts w:eastAsia="Arial"/>
          <w:color w:val="000000" w:themeColor="text1"/>
        </w:rPr>
        <w:t xml:space="preserve">. Contexts and Norms of New Testament Ethics 13. </w:t>
      </w:r>
      <w:r>
        <w:rPr>
          <w:rFonts w:eastAsia="Arial"/>
          <w:iCs/>
          <w:color w:val="000000" w:themeColor="text1"/>
        </w:rPr>
        <w:t>Tübingen: Mohr Siebeck, 2022.</w:t>
      </w:r>
    </w:p>
    <w:sectPr w:rsidR="00080FC0" w:rsidRPr="00C92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474C" w14:textId="77777777" w:rsidR="00981106" w:rsidRDefault="00981106" w:rsidP="00981106">
      <w:r>
        <w:separator/>
      </w:r>
    </w:p>
  </w:endnote>
  <w:endnote w:type="continuationSeparator" w:id="0">
    <w:p w14:paraId="3FAEF434" w14:textId="77777777" w:rsidR="00981106" w:rsidRDefault="00981106" w:rsidP="0098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75CF" w14:textId="77777777" w:rsidR="00981106" w:rsidRDefault="00981106" w:rsidP="00981106">
      <w:r>
        <w:separator/>
      </w:r>
    </w:p>
  </w:footnote>
  <w:footnote w:type="continuationSeparator" w:id="0">
    <w:p w14:paraId="7C5F0199" w14:textId="77777777" w:rsidR="00981106" w:rsidRDefault="00981106" w:rsidP="00981106">
      <w:r>
        <w:continuationSeparator/>
      </w:r>
    </w:p>
  </w:footnote>
  <w:footnote w:id="1">
    <w:p w14:paraId="3E380B5D" w14:textId="7FD42A32" w:rsidR="004A5228" w:rsidRDefault="004A5228">
      <w:pPr>
        <w:pStyle w:val="FootnoteText"/>
      </w:pPr>
      <w:r>
        <w:rPr>
          <w:rStyle w:val="FootnoteReference"/>
        </w:rPr>
        <w:footnoteRef/>
      </w:r>
      <w:r>
        <w:t xml:space="preserve"> The Pastorals were an academic focus of Abraham Malherbe’s as well. He has to his credit at least ten articles on the letters</w:t>
      </w:r>
      <w:r>
        <w:rPr>
          <w:rFonts w:ascii="Calibri" w:hAnsi="Calibri" w:cs="Calibri"/>
        </w:rPr>
        <w:t xml:space="preserve">—most of which are gathered in the first volume of </w:t>
      </w:r>
      <w:r w:rsidRPr="00C57C7D">
        <w:rPr>
          <w:rFonts w:eastAsia="Arial"/>
          <w:i/>
          <w:iCs/>
          <w:color w:val="000000" w:themeColor="text1"/>
        </w:rPr>
        <w:t>Light from the Gentiles: Hellenistic Philosophy and Early Christianity. Collected Essays, 1959‒2012</w:t>
      </w:r>
      <w:r>
        <w:rPr>
          <w:rFonts w:eastAsia="Arial"/>
          <w:color w:val="000000" w:themeColor="text1"/>
        </w:rPr>
        <w:t>, ed.</w:t>
      </w:r>
      <w:r w:rsidRPr="00C57C7D">
        <w:rPr>
          <w:rFonts w:eastAsia="Arial"/>
          <w:color w:val="000000" w:themeColor="text1"/>
        </w:rPr>
        <w:t xml:space="preserve"> R. Holladay, John T. Fitzgerald, Gregory E. Sterling, and James W. Thompson</w:t>
      </w:r>
      <w:r>
        <w:rPr>
          <w:rFonts w:eastAsia="Arial"/>
          <w:color w:val="000000" w:themeColor="text1"/>
        </w:rPr>
        <w:t>,</w:t>
      </w:r>
      <w:r w:rsidRPr="00C57C7D">
        <w:rPr>
          <w:rFonts w:eastAsia="Arial"/>
          <w:color w:val="000000" w:themeColor="text1"/>
        </w:rPr>
        <w:t xml:space="preserve"> </w:t>
      </w:r>
      <w:r>
        <w:rPr>
          <w:rFonts w:eastAsia="Arial"/>
          <w:color w:val="000000" w:themeColor="text1"/>
        </w:rPr>
        <w:t>NovTSup</w:t>
      </w:r>
      <w:r w:rsidRPr="00C57C7D">
        <w:rPr>
          <w:rFonts w:eastAsia="Arial"/>
          <w:color w:val="000000" w:themeColor="text1"/>
        </w:rPr>
        <w:t xml:space="preserve"> 150 </w:t>
      </w:r>
      <w:r>
        <w:rPr>
          <w:rFonts w:eastAsia="Arial"/>
          <w:color w:val="000000" w:themeColor="text1"/>
        </w:rPr>
        <w:t>(</w:t>
      </w:r>
      <w:r w:rsidRPr="00C57C7D">
        <w:rPr>
          <w:rFonts w:eastAsia="Arial"/>
          <w:color w:val="000000" w:themeColor="text1"/>
        </w:rPr>
        <w:t>Leiden: Brill, 2014</w:t>
      </w:r>
      <w:r>
        <w:rPr>
          <w:rFonts w:eastAsia="Arial"/>
          <w:color w:val="000000" w:themeColor="text1"/>
        </w:rPr>
        <w:t>)</w:t>
      </w:r>
      <w:r>
        <w:rPr>
          <w:rFonts w:ascii="Calibri" w:hAnsi="Calibri" w:cs="Calibri"/>
        </w:rPr>
        <w:t>—and was working on the Hermeneia volume on the Pastorals at the time of his death.</w:t>
      </w:r>
    </w:p>
  </w:footnote>
  <w:footnote w:id="2">
    <w:p w14:paraId="661FB203" w14:textId="343168CB" w:rsidR="00981106" w:rsidRDefault="00981106">
      <w:pPr>
        <w:pStyle w:val="FootnoteText"/>
      </w:pPr>
      <w:r>
        <w:rPr>
          <w:rStyle w:val="FootnoteReference"/>
        </w:rPr>
        <w:footnoteRef/>
      </w:r>
      <w:r>
        <w:t xml:space="preserve"> </w:t>
      </w:r>
      <w:r w:rsidR="004A5228">
        <w:t xml:space="preserve">Luke Timothy Johnson, </w:t>
      </w:r>
      <w:r w:rsidR="004A5228" w:rsidRPr="00C57C7D">
        <w:rPr>
          <w:rFonts w:eastAsia="Arial"/>
          <w:color w:val="000000" w:themeColor="text1"/>
        </w:rPr>
        <w:t>“</w:t>
      </w:r>
      <w:bookmarkStart w:id="0" w:name="_Hlk11797473"/>
      <w:r w:rsidR="004A5228" w:rsidRPr="00C57C7D">
        <w:rPr>
          <w:rFonts w:eastAsia="Arial"/>
          <w:color w:val="000000" w:themeColor="text1"/>
        </w:rPr>
        <w:t>II Timothy and the Polemic against False Teachers: A Reexamination</w:t>
      </w:r>
      <w:r w:rsidR="004A5228">
        <w:rPr>
          <w:rFonts w:eastAsia="Arial"/>
          <w:color w:val="000000" w:themeColor="text1"/>
        </w:rPr>
        <w:t>,</w:t>
      </w:r>
      <w:r w:rsidR="004A5228" w:rsidRPr="00C57C7D">
        <w:rPr>
          <w:rFonts w:eastAsia="Arial"/>
          <w:color w:val="000000" w:themeColor="text1"/>
        </w:rPr>
        <w:t xml:space="preserve">” </w:t>
      </w:r>
      <w:proofErr w:type="spellStart"/>
      <w:r w:rsidR="004A5228">
        <w:rPr>
          <w:rFonts w:eastAsia="Arial"/>
          <w:i/>
          <w:color w:val="000000" w:themeColor="text1"/>
        </w:rPr>
        <w:t>JRelS</w:t>
      </w:r>
      <w:proofErr w:type="spellEnd"/>
      <w:r w:rsidR="004A5228">
        <w:rPr>
          <w:rFonts w:eastAsia="Arial"/>
          <w:i/>
          <w:color w:val="000000" w:themeColor="text1"/>
        </w:rPr>
        <w:t xml:space="preserve"> </w:t>
      </w:r>
      <w:r w:rsidR="004A5228" w:rsidRPr="00C57C7D">
        <w:rPr>
          <w:rFonts w:eastAsia="Arial"/>
          <w:color w:val="000000" w:themeColor="text1"/>
        </w:rPr>
        <w:t>6–7 (1978): 1–26</w:t>
      </w:r>
      <w:bookmarkEnd w:id="0"/>
      <w:r w:rsidR="004A5228">
        <w:rPr>
          <w:rFonts w:eastAsia="Arial"/>
          <w:color w:val="000000" w:themeColor="text1"/>
        </w:rPr>
        <w:t>;</w:t>
      </w:r>
      <w:r w:rsidR="004A5228" w:rsidRPr="00C57C7D">
        <w:rPr>
          <w:rFonts w:eastAsia="Arial"/>
          <w:color w:val="000000" w:themeColor="text1"/>
        </w:rPr>
        <w:t xml:space="preserve"> </w:t>
      </w:r>
      <w:r w:rsidR="004A5228">
        <w:rPr>
          <w:rFonts w:eastAsia="Arial"/>
          <w:color w:val="000000" w:themeColor="text1"/>
        </w:rPr>
        <w:t>repr.</w:t>
      </w:r>
      <w:r w:rsidR="004A5228" w:rsidRPr="00C57C7D">
        <w:rPr>
          <w:rFonts w:eastAsia="Arial"/>
          <w:color w:val="000000" w:themeColor="text1"/>
        </w:rPr>
        <w:t xml:space="preserve">, Luke Timothy Johnson, </w:t>
      </w:r>
      <w:r w:rsidR="004A5228" w:rsidRPr="00C57C7D">
        <w:rPr>
          <w:rFonts w:eastAsia="Arial"/>
          <w:i/>
          <w:iCs/>
          <w:color w:val="000000" w:themeColor="text1"/>
        </w:rPr>
        <w:t xml:space="preserve">Contested Issues in Christian </w:t>
      </w:r>
      <w:proofErr w:type="gramStart"/>
      <w:r w:rsidR="004A5228" w:rsidRPr="00C57C7D">
        <w:rPr>
          <w:rFonts w:eastAsia="Arial"/>
          <w:i/>
          <w:iCs/>
          <w:color w:val="000000" w:themeColor="text1"/>
        </w:rPr>
        <w:t>Origins</w:t>
      </w:r>
      <w:proofErr w:type="gramEnd"/>
      <w:r w:rsidR="004A5228" w:rsidRPr="00C57C7D">
        <w:rPr>
          <w:rFonts w:eastAsia="Arial"/>
          <w:i/>
          <w:iCs/>
          <w:color w:val="000000" w:themeColor="text1"/>
        </w:rPr>
        <w:t xml:space="preserve"> and the New Testament: Collected Essays</w:t>
      </w:r>
      <w:r w:rsidR="004A5228">
        <w:rPr>
          <w:rFonts w:eastAsia="Arial"/>
          <w:color w:val="000000" w:themeColor="text1"/>
        </w:rPr>
        <w:t xml:space="preserve">, NovTSup </w:t>
      </w:r>
      <w:r w:rsidR="004A5228" w:rsidRPr="00C57C7D">
        <w:rPr>
          <w:rFonts w:eastAsia="Arial"/>
          <w:color w:val="000000" w:themeColor="text1"/>
        </w:rPr>
        <w:t xml:space="preserve">146 </w:t>
      </w:r>
      <w:r w:rsidR="004A5228">
        <w:rPr>
          <w:rFonts w:eastAsia="Arial"/>
          <w:color w:val="000000" w:themeColor="text1"/>
        </w:rPr>
        <w:t>(</w:t>
      </w:r>
      <w:r w:rsidR="004A5228" w:rsidRPr="00C57C7D">
        <w:rPr>
          <w:rFonts w:eastAsia="Arial"/>
          <w:color w:val="000000" w:themeColor="text1"/>
        </w:rPr>
        <w:t>Leiden: Brill, 2013</w:t>
      </w:r>
      <w:r w:rsidR="004A5228">
        <w:rPr>
          <w:rFonts w:eastAsia="Arial"/>
          <w:color w:val="000000" w:themeColor="text1"/>
        </w:rPr>
        <w:t>)</w:t>
      </w:r>
      <w:r w:rsidR="00F038D1">
        <w:rPr>
          <w:rFonts w:eastAsia="Arial"/>
          <w:color w:val="000000" w:themeColor="text1"/>
        </w:rPr>
        <w:t>, 331–62</w:t>
      </w:r>
      <w:r w:rsidR="004A5228" w:rsidRPr="00C57C7D">
        <w:rPr>
          <w:rFonts w:eastAsia="Arial"/>
          <w:color w:val="000000" w:themeColor="text1"/>
        </w:rPr>
        <w:t>.</w:t>
      </w:r>
    </w:p>
  </w:footnote>
  <w:footnote w:id="3">
    <w:p w14:paraId="54C611A6" w14:textId="765220BE" w:rsidR="004A5228" w:rsidRDefault="004A5228">
      <w:pPr>
        <w:pStyle w:val="FootnoteText"/>
      </w:pPr>
      <w:r>
        <w:rPr>
          <w:rStyle w:val="FootnoteReference"/>
        </w:rPr>
        <w:footnoteRef/>
      </w:r>
      <w:r>
        <w:t xml:space="preserve"> Robert J. Karris, </w:t>
      </w:r>
      <w:r w:rsidRPr="007D4B06">
        <w:rPr>
          <w:rFonts w:eastAsia="Arial"/>
          <w:color w:val="000000" w:themeColor="text1"/>
        </w:rPr>
        <w:t>“The Background and Significance of the Polemic of the Pastoral Epistles</w:t>
      </w:r>
      <w:r>
        <w:rPr>
          <w:rFonts w:eastAsia="Arial"/>
          <w:color w:val="000000" w:themeColor="text1"/>
        </w:rPr>
        <w:t>,</w:t>
      </w:r>
      <w:r w:rsidRPr="007D4B06">
        <w:rPr>
          <w:rFonts w:eastAsia="Arial"/>
          <w:color w:val="000000" w:themeColor="text1"/>
        </w:rPr>
        <w:t xml:space="preserve">” </w:t>
      </w:r>
      <w:r>
        <w:rPr>
          <w:rFonts w:eastAsia="Arial"/>
          <w:i/>
          <w:iCs/>
          <w:color w:val="000000" w:themeColor="text1"/>
        </w:rPr>
        <w:t xml:space="preserve">JBL </w:t>
      </w:r>
      <w:r w:rsidRPr="007D4B06">
        <w:rPr>
          <w:rFonts w:eastAsia="Arial"/>
          <w:color w:val="000000" w:themeColor="text1"/>
        </w:rPr>
        <w:t>92.4 (1973): 549–64.</w:t>
      </w:r>
    </w:p>
  </w:footnote>
  <w:footnote w:id="4">
    <w:p w14:paraId="6F72A6DD" w14:textId="40993AD0" w:rsidR="00984A6C" w:rsidRDefault="00984A6C">
      <w:pPr>
        <w:pStyle w:val="FootnoteText"/>
      </w:pPr>
      <w:r>
        <w:rPr>
          <w:rStyle w:val="FootnoteReference"/>
        </w:rPr>
        <w:footnoteRef/>
      </w:r>
      <w:r>
        <w:t xml:space="preserve"> Luke Timothy Johnson, </w:t>
      </w:r>
      <w:bookmarkStart w:id="1" w:name="_Hlk526983467"/>
      <w:r w:rsidRPr="00C57C7D">
        <w:rPr>
          <w:rFonts w:eastAsia="Arial"/>
          <w:i/>
          <w:iCs/>
          <w:color w:val="000000" w:themeColor="text1"/>
        </w:rPr>
        <w:t>Letters to Paul’s Delegates: 1 Timothy, 2 Timothy, Titus</w:t>
      </w:r>
      <w:r>
        <w:rPr>
          <w:rFonts w:eastAsia="Arial"/>
          <w:iCs/>
          <w:color w:val="000000" w:themeColor="text1"/>
        </w:rPr>
        <w:t xml:space="preserve">, </w:t>
      </w:r>
      <w:r w:rsidRPr="00C57C7D">
        <w:rPr>
          <w:rFonts w:eastAsia="Arial"/>
          <w:iCs/>
          <w:color w:val="000000" w:themeColor="text1"/>
        </w:rPr>
        <w:t xml:space="preserve">The New Testament in Context </w:t>
      </w:r>
      <w:r>
        <w:rPr>
          <w:rFonts w:eastAsia="Arial"/>
          <w:iCs/>
          <w:color w:val="000000" w:themeColor="text1"/>
        </w:rPr>
        <w:t>(</w:t>
      </w:r>
      <w:r w:rsidRPr="00C57C7D">
        <w:rPr>
          <w:rFonts w:eastAsia="Arial"/>
          <w:iCs/>
          <w:color w:val="000000" w:themeColor="text1"/>
        </w:rPr>
        <w:t>Valley Forge, PA: Trinity Press International, 1996</w:t>
      </w:r>
      <w:bookmarkEnd w:id="1"/>
      <w:r>
        <w:rPr>
          <w:rFonts w:eastAsia="Arial"/>
          <w:iCs/>
          <w:color w:val="000000" w:themeColor="text1"/>
        </w:rPr>
        <w:t>)</w:t>
      </w:r>
      <w:r w:rsidRPr="00C57C7D">
        <w:rPr>
          <w:rFonts w:eastAsia="Arial"/>
          <w:iCs/>
          <w:color w:val="000000" w:themeColor="text1"/>
        </w:rPr>
        <w:t>.</w:t>
      </w:r>
    </w:p>
  </w:footnote>
  <w:footnote w:id="5">
    <w:p w14:paraId="0C4A86B2" w14:textId="678448B7" w:rsidR="00F038D1" w:rsidRDefault="00F038D1">
      <w:pPr>
        <w:pStyle w:val="FootnoteText"/>
      </w:pPr>
      <w:r>
        <w:rPr>
          <w:rStyle w:val="FootnoteReference"/>
        </w:rPr>
        <w:footnoteRef/>
      </w:r>
      <w:r>
        <w:t xml:space="preserve"> Cf. Luke Timothy Johnson, </w:t>
      </w:r>
      <w:r w:rsidRPr="00C57C7D">
        <w:rPr>
          <w:rFonts w:eastAsia="Arial"/>
          <w:color w:val="000000" w:themeColor="text1"/>
        </w:rPr>
        <w:t>“</w:t>
      </w:r>
      <w:proofErr w:type="spellStart"/>
      <w:r w:rsidRPr="00C57C7D">
        <w:rPr>
          <w:rFonts w:eastAsia="Arial"/>
          <w:i/>
          <w:color w:val="000000" w:themeColor="text1"/>
        </w:rPr>
        <w:t>Oikonomia</w:t>
      </w:r>
      <w:proofErr w:type="spellEnd"/>
      <w:r w:rsidRPr="00C57C7D">
        <w:rPr>
          <w:rFonts w:eastAsia="Arial"/>
          <w:i/>
          <w:color w:val="000000" w:themeColor="text1"/>
        </w:rPr>
        <w:t xml:space="preserve"> </w:t>
      </w:r>
      <w:proofErr w:type="spellStart"/>
      <w:r w:rsidRPr="00C57C7D">
        <w:rPr>
          <w:rFonts w:eastAsia="Arial"/>
          <w:i/>
          <w:color w:val="000000" w:themeColor="text1"/>
        </w:rPr>
        <w:t>Theou</w:t>
      </w:r>
      <w:proofErr w:type="spellEnd"/>
      <w:r w:rsidRPr="00C57C7D">
        <w:rPr>
          <w:rFonts w:eastAsia="Arial"/>
          <w:color w:val="000000" w:themeColor="text1"/>
        </w:rPr>
        <w:t xml:space="preserve">: The Theological Voice of 1 Timothy from the </w:t>
      </w:r>
      <w:proofErr w:type="spellStart"/>
      <w:r w:rsidRPr="00C57C7D">
        <w:rPr>
          <w:rFonts w:eastAsia="Arial"/>
          <w:color w:val="000000" w:themeColor="text1"/>
        </w:rPr>
        <w:t>Persective</w:t>
      </w:r>
      <w:proofErr w:type="spellEnd"/>
      <w:r w:rsidRPr="00C57C7D">
        <w:rPr>
          <w:rFonts w:eastAsia="Arial"/>
          <w:color w:val="000000" w:themeColor="text1"/>
        </w:rPr>
        <w:t xml:space="preserve"> of Pauline Authorship</w:t>
      </w:r>
      <w:r>
        <w:rPr>
          <w:rFonts w:eastAsia="Arial"/>
          <w:color w:val="000000" w:themeColor="text1"/>
        </w:rPr>
        <w:t>,</w:t>
      </w:r>
      <w:r w:rsidRPr="00C57C7D">
        <w:rPr>
          <w:rFonts w:eastAsia="Arial"/>
          <w:color w:val="000000" w:themeColor="text1"/>
        </w:rPr>
        <w:t xml:space="preserve">” </w:t>
      </w:r>
      <w:r>
        <w:rPr>
          <w:rFonts w:eastAsia="Arial"/>
          <w:i/>
          <w:color w:val="000000" w:themeColor="text1"/>
        </w:rPr>
        <w:t xml:space="preserve">HBT </w:t>
      </w:r>
      <w:r w:rsidRPr="00C57C7D">
        <w:rPr>
          <w:rFonts w:eastAsia="Arial"/>
          <w:color w:val="000000" w:themeColor="text1"/>
        </w:rPr>
        <w:t>21</w:t>
      </w:r>
      <w:r>
        <w:rPr>
          <w:rFonts w:eastAsia="Arial"/>
          <w:color w:val="000000" w:themeColor="text1"/>
        </w:rPr>
        <w:t>.2</w:t>
      </w:r>
      <w:r w:rsidRPr="00C57C7D">
        <w:rPr>
          <w:rFonts w:eastAsia="Arial"/>
          <w:color w:val="000000" w:themeColor="text1"/>
        </w:rPr>
        <w:t xml:space="preserve"> (1999): 87–104</w:t>
      </w:r>
      <w:r>
        <w:rPr>
          <w:rFonts w:eastAsia="Arial"/>
          <w:color w:val="000000" w:themeColor="text1"/>
        </w:rPr>
        <w:t>;</w:t>
      </w:r>
      <w:r w:rsidRPr="00C57C7D">
        <w:rPr>
          <w:rFonts w:eastAsia="Arial"/>
          <w:color w:val="000000" w:themeColor="text1"/>
        </w:rPr>
        <w:t xml:space="preserve"> </w:t>
      </w:r>
      <w:r>
        <w:rPr>
          <w:rFonts w:eastAsia="Arial"/>
          <w:color w:val="000000" w:themeColor="text1"/>
        </w:rPr>
        <w:t>repr.</w:t>
      </w:r>
      <w:r w:rsidRPr="00C57C7D">
        <w:rPr>
          <w:rFonts w:eastAsia="Arial"/>
          <w:color w:val="000000" w:themeColor="text1"/>
        </w:rPr>
        <w:t xml:space="preserve">, Johnson, </w:t>
      </w:r>
      <w:r w:rsidRPr="00C57C7D">
        <w:rPr>
          <w:rFonts w:eastAsia="Arial"/>
          <w:i/>
          <w:iCs/>
          <w:color w:val="000000" w:themeColor="text1"/>
        </w:rPr>
        <w:t>Contested Issues in Christian Origins and the New Testament</w:t>
      </w:r>
      <w:r>
        <w:rPr>
          <w:rFonts w:eastAsia="Arial"/>
          <w:color w:val="000000" w:themeColor="text1"/>
        </w:rPr>
        <w:t xml:space="preserve">, </w:t>
      </w:r>
      <w:r w:rsidRPr="00C57C7D">
        <w:rPr>
          <w:rFonts w:eastAsia="Arial"/>
          <w:color w:val="000000" w:themeColor="text1"/>
        </w:rPr>
        <w:t>383‒403</w:t>
      </w:r>
      <w:r>
        <w:rPr>
          <w:rFonts w:eastAsia="Arial"/>
          <w:color w:val="000000" w:themeColor="text1"/>
        </w:rPr>
        <w:t xml:space="preserve">; Margaret M. Mitchell, </w:t>
      </w:r>
      <w:r w:rsidRPr="00C57C7D">
        <w:rPr>
          <w:rFonts w:eastAsia="Arial"/>
          <w:color w:val="000000" w:themeColor="text1"/>
        </w:rPr>
        <w:t xml:space="preserve">“‘Speaking of God as He Was Able’: A Response to Luke Timothy Johnson and Jerry L. </w:t>
      </w:r>
      <w:proofErr w:type="spellStart"/>
      <w:r w:rsidRPr="00C57C7D">
        <w:rPr>
          <w:rFonts w:eastAsia="Arial"/>
          <w:color w:val="000000" w:themeColor="text1"/>
        </w:rPr>
        <w:t>Sumney</w:t>
      </w:r>
      <w:proofErr w:type="spellEnd"/>
      <w:r>
        <w:rPr>
          <w:rFonts w:eastAsia="Arial"/>
          <w:color w:val="000000" w:themeColor="text1"/>
        </w:rPr>
        <w:t>,</w:t>
      </w:r>
      <w:r w:rsidRPr="00C57C7D">
        <w:rPr>
          <w:rFonts w:eastAsia="Arial"/>
          <w:color w:val="000000" w:themeColor="text1"/>
        </w:rPr>
        <w:t xml:space="preserve">” </w:t>
      </w:r>
      <w:r>
        <w:rPr>
          <w:rFonts w:eastAsia="Arial"/>
          <w:i/>
          <w:color w:val="000000" w:themeColor="text1"/>
        </w:rPr>
        <w:t xml:space="preserve">HBT </w:t>
      </w:r>
      <w:r w:rsidRPr="00C57C7D">
        <w:rPr>
          <w:rFonts w:eastAsia="Arial"/>
          <w:color w:val="000000" w:themeColor="text1"/>
        </w:rPr>
        <w:t>21</w:t>
      </w:r>
      <w:r>
        <w:rPr>
          <w:rFonts w:eastAsia="Arial"/>
          <w:color w:val="000000" w:themeColor="text1"/>
        </w:rPr>
        <w:t>.2</w:t>
      </w:r>
      <w:r w:rsidRPr="00C57C7D">
        <w:rPr>
          <w:rFonts w:eastAsia="Arial"/>
          <w:color w:val="000000" w:themeColor="text1"/>
        </w:rPr>
        <w:t xml:space="preserve"> (1999): 124–50</w:t>
      </w:r>
      <w:r>
        <w:rPr>
          <w:rFonts w:eastAsia="Arial"/>
          <w:color w:val="000000" w:themeColor="text1"/>
        </w:rPr>
        <w:t xml:space="preserve">; Johnson, </w:t>
      </w:r>
      <w:r>
        <w:rPr>
          <w:rFonts w:eastAsia="Arial"/>
          <w:iCs/>
          <w:color w:val="000000" w:themeColor="text1"/>
        </w:rPr>
        <w:t>“Response to Margaret Mitchell</w:t>
      </w:r>
      <w:r>
        <w:rPr>
          <w:rFonts w:eastAsia="Arial"/>
          <w:iCs/>
          <w:color w:val="000000" w:themeColor="text1"/>
        </w:rPr>
        <w:t>,</w:t>
      </w:r>
      <w:r>
        <w:rPr>
          <w:rFonts w:eastAsia="Arial"/>
          <w:iCs/>
          <w:color w:val="000000" w:themeColor="text1"/>
        </w:rPr>
        <w:t xml:space="preserve">” </w:t>
      </w:r>
      <w:r>
        <w:rPr>
          <w:rFonts w:eastAsia="Arial"/>
          <w:i/>
          <w:color w:val="000000" w:themeColor="text1"/>
        </w:rPr>
        <w:t xml:space="preserve">HBT </w:t>
      </w:r>
      <w:r w:rsidRPr="00C57C7D">
        <w:rPr>
          <w:rFonts w:eastAsia="Arial"/>
          <w:color w:val="000000" w:themeColor="text1"/>
        </w:rPr>
        <w:t>21</w:t>
      </w:r>
      <w:r>
        <w:rPr>
          <w:rFonts w:eastAsia="Arial"/>
          <w:color w:val="000000" w:themeColor="text1"/>
        </w:rPr>
        <w:t>.2</w:t>
      </w:r>
      <w:r w:rsidRPr="00C57C7D">
        <w:rPr>
          <w:rFonts w:eastAsia="Arial"/>
          <w:color w:val="000000" w:themeColor="text1"/>
        </w:rPr>
        <w:t xml:space="preserve"> (1999):</w:t>
      </w:r>
      <w:r>
        <w:rPr>
          <w:rFonts w:eastAsia="Arial"/>
          <w:color w:val="000000" w:themeColor="text1"/>
        </w:rPr>
        <w:t xml:space="preserve"> 140–44</w:t>
      </w:r>
      <w:r w:rsidRPr="00C57C7D">
        <w:rPr>
          <w:rFonts w:eastAsia="Arial"/>
          <w:color w:val="000000" w:themeColor="text1"/>
        </w:rPr>
        <w:t>.</w:t>
      </w:r>
    </w:p>
  </w:footnote>
  <w:footnote w:id="6">
    <w:p w14:paraId="14343092" w14:textId="7E96BF65" w:rsidR="00984A6C" w:rsidRDefault="00984A6C">
      <w:pPr>
        <w:pStyle w:val="FootnoteText"/>
      </w:pPr>
      <w:r>
        <w:rPr>
          <w:rStyle w:val="FootnoteReference"/>
        </w:rPr>
        <w:footnoteRef/>
      </w:r>
      <w:r>
        <w:t xml:space="preserve"> </w:t>
      </w:r>
      <w:bookmarkStart w:id="2" w:name="_Hlk526983615"/>
      <w:r>
        <w:t xml:space="preserve">Luke Timothy Johnson, </w:t>
      </w:r>
      <w:r w:rsidRPr="00C57C7D">
        <w:rPr>
          <w:rFonts w:eastAsia="Arial"/>
          <w:i/>
          <w:iCs/>
          <w:color w:val="000000" w:themeColor="text1"/>
        </w:rPr>
        <w:t>The First and Second Letters to Timothy</w:t>
      </w:r>
      <w:r>
        <w:rPr>
          <w:rFonts w:eastAsia="Arial"/>
          <w:iCs/>
          <w:color w:val="000000" w:themeColor="text1"/>
        </w:rPr>
        <w:t xml:space="preserve">, AB </w:t>
      </w:r>
      <w:r w:rsidRPr="00C57C7D">
        <w:rPr>
          <w:rFonts w:eastAsia="Arial"/>
          <w:iCs/>
          <w:color w:val="000000" w:themeColor="text1"/>
        </w:rPr>
        <w:t xml:space="preserve">35A </w:t>
      </w:r>
      <w:r>
        <w:rPr>
          <w:rFonts w:eastAsia="Arial"/>
          <w:iCs/>
          <w:color w:val="000000" w:themeColor="text1"/>
        </w:rPr>
        <w:t>(</w:t>
      </w:r>
      <w:r w:rsidRPr="00C57C7D">
        <w:rPr>
          <w:rFonts w:eastAsia="Arial"/>
          <w:iCs/>
          <w:color w:val="000000" w:themeColor="text1"/>
        </w:rPr>
        <w:t>Garden City, NY: Doubleday, 2001</w:t>
      </w:r>
      <w:bookmarkEnd w:id="2"/>
      <w:r>
        <w:rPr>
          <w:rFonts w:eastAsia="Arial"/>
          <w:iCs/>
          <w:color w:val="000000" w:themeColor="text1"/>
        </w:rPr>
        <w:t>)</w:t>
      </w:r>
      <w:r w:rsidRPr="00C57C7D">
        <w:rPr>
          <w:rFonts w:eastAsia="Arial"/>
          <w:iCs/>
          <w:color w:val="000000" w:themeColor="text1"/>
        </w:rPr>
        <w:t>.</w:t>
      </w:r>
    </w:p>
  </w:footnote>
  <w:footnote w:id="7">
    <w:p w14:paraId="501264F0" w14:textId="2C192EAF" w:rsidR="00295B36" w:rsidRDefault="00295B36">
      <w:pPr>
        <w:pStyle w:val="FootnoteText"/>
      </w:pPr>
      <w:r>
        <w:rPr>
          <w:rStyle w:val="FootnoteReference"/>
        </w:rPr>
        <w:footnoteRef/>
      </w:r>
      <w:r>
        <w:t xml:space="preserve"> Jerome D. Quinn, </w:t>
      </w:r>
      <w:bookmarkStart w:id="3" w:name="_Hlk529102327"/>
      <w:bookmarkStart w:id="4" w:name="_Hlk49714853"/>
      <w:r w:rsidRPr="00C57C7D">
        <w:rPr>
          <w:rFonts w:eastAsia="Arial"/>
          <w:i/>
          <w:iCs/>
          <w:color w:val="000000" w:themeColor="text1"/>
        </w:rPr>
        <w:t>The Letter to Titus</w:t>
      </w:r>
      <w:bookmarkStart w:id="5" w:name="_Hlk529102440"/>
      <w:r w:rsidRPr="00C57C7D">
        <w:rPr>
          <w:rFonts w:eastAsia="Arial"/>
          <w:i/>
          <w:iCs/>
          <w:color w:val="000000" w:themeColor="text1"/>
        </w:rPr>
        <w:t>: A New Translation with Notes and Commentary</w:t>
      </w:r>
      <w:bookmarkEnd w:id="5"/>
      <w:r w:rsidRPr="00C57C7D">
        <w:rPr>
          <w:rFonts w:eastAsia="Arial"/>
          <w:i/>
          <w:iCs/>
          <w:color w:val="000000" w:themeColor="text1"/>
        </w:rPr>
        <w:t>, and an Introduction to Titus, I and II Timothy, the Pastoral Epistles</w:t>
      </w:r>
      <w:r>
        <w:rPr>
          <w:rFonts w:eastAsia="Arial"/>
          <w:iCs/>
          <w:color w:val="000000" w:themeColor="text1"/>
        </w:rPr>
        <w:t>, AB 35 (</w:t>
      </w:r>
      <w:r w:rsidRPr="00C57C7D">
        <w:rPr>
          <w:rFonts w:eastAsia="Arial"/>
          <w:iCs/>
          <w:color w:val="000000" w:themeColor="text1"/>
        </w:rPr>
        <w:t>New York: Doubleday, 1990</w:t>
      </w:r>
      <w:bookmarkEnd w:id="3"/>
      <w:r>
        <w:rPr>
          <w:rFonts w:eastAsia="Arial"/>
          <w:iCs/>
          <w:color w:val="000000" w:themeColor="text1"/>
        </w:rPr>
        <w:t>)</w:t>
      </w:r>
      <w:r w:rsidRPr="00C57C7D">
        <w:rPr>
          <w:rFonts w:eastAsia="Arial"/>
          <w:iCs/>
          <w:color w:val="000000" w:themeColor="text1"/>
        </w:rPr>
        <w:t>.</w:t>
      </w:r>
      <w:bookmarkEnd w:id="4"/>
    </w:p>
  </w:footnote>
  <w:footnote w:id="8">
    <w:p w14:paraId="4B3557B3" w14:textId="64A8F915" w:rsidR="00295B36" w:rsidRDefault="00295B36">
      <w:pPr>
        <w:pStyle w:val="FootnoteText"/>
      </w:pPr>
      <w:r>
        <w:rPr>
          <w:rStyle w:val="FootnoteReference"/>
        </w:rPr>
        <w:footnoteRef/>
      </w:r>
      <w:r>
        <w:t xml:space="preserve"> Cf. Jerome D. Quinn, </w:t>
      </w:r>
      <w:r w:rsidRPr="00C57C7D">
        <w:rPr>
          <w:rFonts w:eastAsia="Arial"/>
          <w:color w:val="000000" w:themeColor="text1"/>
        </w:rPr>
        <w:t>“The Last Volume of Luke: The Relation of Luke-Acts to the Pastoral Epistles</w:t>
      </w:r>
      <w:r>
        <w:rPr>
          <w:rFonts w:eastAsia="Arial"/>
          <w:color w:val="000000" w:themeColor="text1"/>
        </w:rPr>
        <w:t>,</w:t>
      </w:r>
      <w:r w:rsidRPr="00C57C7D">
        <w:rPr>
          <w:rFonts w:eastAsia="Arial"/>
          <w:color w:val="000000" w:themeColor="text1"/>
        </w:rPr>
        <w:t xml:space="preserve">” in </w:t>
      </w:r>
      <w:r w:rsidRPr="00C57C7D">
        <w:rPr>
          <w:rFonts w:eastAsia="Arial"/>
          <w:i/>
          <w:color w:val="000000" w:themeColor="text1"/>
        </w:rPr>
        <w:t>Perspectives on Luke-Acts</w:t>
      </w:r>
      <w:r>
        <w:rPr>
          <w:rFonts w:eastAsia="Arial"/>
          <w:color w:val="000000" w:themeColor="text1"/>
        </w:rPr>
        <w:t xml:space="preserve">, ed. </w:t>
      </w:r>
      <w:r w:rsidRPr="00C57C7D">
        <w:rPr>
          <w:rFonts w:eastAsia="Arial"/>
          <w:color w:val="000000" w:themeColor="text1"/>
        </w:rPr>
        <w:t>C</w:t>
      </w:r>
      <w:r>
        <w:rPr>
          <w:rFonts w:eastAsia="Arial"/>
          <w:color w:val="000000" w:themeColor="text1"/>
        </w:rPr>
        <w:t>harles</w:t>
      </w:r>
      <w:r w:rsidRPr="00C57C7D">
        <w:rPr>
          <w:rFonts w:eastAsia="Arial"/>
          <w:color w:val="000000" w:themeColor="text1"/>
        </w:rPr>
        <w:t xml:space="preserve"> H. Talbert</w:t>
      </w:r>
      <w:r>
        <w:rPr>
          <w:rFonts w:eastAsia="Arial"/>
          <w:color w:val="000000" w:themeColor="text1"/>
        </w:rPr>
        <w:t>,</w:t>
      </w:r>
      <w:r w:rsidRPr="00C57C7D">
        <w:rPr>
          <w:rFonts w:eastAsia="Arial"/>
          <w:color w:val="000000" w:themeColor="text1"/>
        </w:rPr>
        <w:t xml:space="preserve"> Perspectives in Religious Studies, Special Studies Series 5 </w:t>
      </w:r>
      <w:r>
        <w:rPr>
          <w:rFonts w:eastAsia="Arial"/>
          <w:color w:val="000000" w:themeColor="text1"/>
        </w:rPr>
        <w:t>(</w:t>
      </w:r>
      <w:r w:rsidRPr="00C57C7D">
        <w:rPr>
          <w:rFonts w:eastAsia="Arial"/>
          <w:color w:val="000000" w:themeColor="text1"/>
        </w:rPr>
        <w:t>Macon, GA: Mercer University Press, 1978</w:t>
      </w:r>
      <w:r>
        <w:rPr>
          <w:rFonts w:eastAsia="Arial"/>
          <w:color w:val="000000" w:themeColor="text1"/>
        </w:rPr>
        <w:t>), 62–75</w:t>
      </w:r>
      <w:r w:rsidRPr="00C57C7D">
        <w:rPr>
          <w:rFonts w:eastAsia="Arial"/>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D8"/>
    <w:rsid w:val="00080FC0"/>
    <w:rsid w:val="001F16BA"/>
    <w:rsid w:val="00266209"/>
    <w:rsid w:val="00295B36"/>
    <w:rsid w:val="0041603A"/>
    <w:rsid w:val="004A5228"/>
    <w:rsid w:val="007817C9"/>
    <w:rsid w:val="00981106"/>
    <w:rsid w:val="00984A6C"/>
    <w:rsid w:val="00A74B94"/>
    <w:rsid w:val="00A916BF"/>
    <w:rsid w:val="00B51FB1"/>
    <w:rsid w:val="00F038D1"/>
    <w:rsid w:val="00FD4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0D066F"/>
  <w15:chartTrackingRefBased/>
  <w15:docId w15:val="{6AA7A742-EBE6-A241-BDF1-5953521D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1106"/>
    <w:rPr>
      <w:sz w:val="20"/>
      <w:szCs w:val="20"/>
    </w:rPr>
  </w:style>
  <w:style w:type="character" w:customStyle="1" w:styleId="FootnoteTextChar">
    <w:name w:val="Footnote Text Char"/>
    <w:basedOn w:val="DefaultParagraphFont"/>
    <w:link w:val="FootnoteText"/>
    <w:uiPriority w:val="99"/>
    <w:semiHidden/>
    <w:rsid w:val="00981106"/>
    <w:rPr>
      <w:sz w:val="20"/>
      <w:szCs w:val="20"/>
    </w:rPr>
  </w:style>
  <w:style w:type="character" w:styleId="FootnoteReference">
    <w:name w:val="footnote reference"/>
    <w:basedOn w:val="DefaultParagraphFont"/>
    <w:uiPriority w:val="99"/>
    <w:semiHidden/>
    <w:unhideWhenUsed/>
    <w:rsid w:val="00981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Bumgardner</dc:creator>
  <cp:keywords/>
  <dc:description/>
  <cp:lastModifiedBy>Chuck Bumgardner</cp:lastModifiedBy>
  <cp:revision>1</cp:revision>
  <dcterms:created xsi:type="dcterms:W3CDTF">2023-04-17T03:04:00Z</dcterms:created>
  <dcterms:modified xsi:type="dcterms:W3CDTF">2023-04-17T06:42:00Z</dcterms:modified>
</cp:coreProperties>
</file>